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A4DB" w14:textId="0B330C88" w:rsidR="00752B72" w:rsidRDefault="00752B72" w:rsidP="00752B72">
      <w:pPr>
        <w:autoSpaceDE w:val="0"/>
        <w:autoSpaceDN w:val="0"/>
        <w:adjustRightInd w:val="0"/>
        <w:spacing w:before="100" w:beforeAutospacing="1"/>
        <w:jc w:val="center"/>
      </w:pPr>
      <w:r>
        <w:rPr>
          <w:rStyle w:val="size"/>
          <w:rFonts w:ascii="Tahoma" w:hAnsi="Tahoma" w:cs="Tahoma"/>
          <w:b/>
          <w:bCs/>
          <w:sz w:val="36"/>
          <w:szCs w:val="36"/>
        </w:rPr>
        <w:t>Proces potwierdzania ważności wyników w laboratorium mikrobiologicznym – omówienie wymagań normy PN-EN ISO 17025:2018-02 oraz aktualnych DA-05, DA-06</w:t>
      </w:r>
    </w:p>
    <w:p w14:paraId="54A146BD" w14:textId="77777777" w:rsidR="00752B72" w:rsidRDefault="00752B72" w:rsidP="00752B72"/>
    <w:p w14:paraId="4A23B10D" w14:textId="53FE75FA" w:rsidR="00752B72" w:rsidRDefault="00752B72" w:rsidP="000775C0">
      <w:pPr>
        <w:jc w:val="both"/>
      </w:pPr>
      <w:r>
        <w:rPr>
          <w:rStyle w:val="font"/>
          <w:rFonts w:ascii="Tahoma" w:hAnsi="Tahoma" w:cs="Tahoma"/>
        </w:rPr>
        <w:t>W trakcie szkolenia uczestnicy poszerzą wiedzę z zakresu procesu potwierdzania ważności wyników w odniesieniu do wymagań normy PN-EN ISO/IEC 17025:2018-02 oraz dokumentów  DA-05 oraz DA-06. W trakcie szkolenia zostaną omówione przedmiotowe dokumenty</w:t>
      </w:r>
      <w:r w:rsidR="00CD3EA9">
        <w:rPr>
          <w:rStyle w:val="font"/>
          <w:rFonts w:ascii="Tahoma" w:hAnsi="Tahoma" w:cs="Tahoma"/>
        </w:rPr>
        <w:t>,</w:t>
      </w:r>
      <w:r>
        <w:rPr>
          <w:rStyle w:val="font"/>
          <w:rFonts w:ascii="Tahoma" w:hAnsi="Tahoma" w:cs="Tahoma"/>
        </w:rPr>
        <w:t xml:space="preserve"> a także zasady konstruowania programów potwierdzania ważności wyników tj. określanie narzędzi</w:t>
      </w:r>
      <w:r w:rsidR="00CD3EA9">
        <w:rPr>
          <w:rStyle w:val="font"/>
          <w:rFonts w:ascii="Tahoma" w:hAnsi="Tahoma" w:cs="Tahoma"/>
        </w:rPr>
        <w:t>,</w:t>
      </w:r>
      <w:r>
        <w:rPr>
          <w:rStyle w:val="font"/>
          <w:rFonts w:ascii="Tahoma" w:hAnsi="Tahoma" w:cs="Tahoma"/>
        </w:rPr>
        <w:t xml:space="preserve"> ich częstotliwości oraz kryteriów oceny. W trakcie szkolenia zostanie opracowany przykładowy harmonogram potwierdzania ważności wyników dla mikrobiologicznych metody ilościowych.</w:t>
      </w:r>
    </w:p>
    <w:p w14:paraId="34E51FA6" w14:textId="77777777" w:rsidR="00233017" w:rsidRDefault="00752B72" w:rsidP="00233017">
      <w:pPr>
        <w:spacing w:before="100" w:beforeAutospacing="1"/>
        <w:jc w:val="both"/>
        <w:rPr>
          <w:rStyle w:val="font"/>
          <w:rFonts w:ascii="Tahoma" w:hAnsi="Tahoma" w:cs="Tahoma"/>
          <w:b/>
          <w:bCs/>
        </w:rPr>
      </w:pPr>
      <w:r>
        <w:rPr>
          <w:rStyle w:val="font"/>
          <w:rFonts w:ascii="Tahoma" w:hAnsi="Tahoma" w:cs="Tahoma"/>
        </w:rPr>
        <w:t> </w:t>
      </w:r>
      <w:r>
        <w:rPr>
          <w:rStyle w:val="font"/>
          <w:rFonts w:ascii="Tahoma" w:hAnsi="Tahoma" w:cs="Tahoma"/>
          <w:b/>
          <w:bCs/>
        </w:rPr>
        <w:t>Program szkolenia:</w:t>
      </w:r>
    </w:p>
    <w:p w14:paraId="51CD8D22" w14:textId="685C3834" w:rsidR="00752B72" w:rsidRDefault="00752B72" w:rsidP="00233017">
      <w:pPr>
        <w:spacing w:before="100" w:beforeAutospacing="1"/>
        <w:jc w:val="both"/>
      </w:pPr>
      <w:r>
        <w:rPr>
          <w:rStyle w:val="colour"/>
          <w:b/>
          <w:bCs/>
        </w:rPr>
        <w:t> </w:t>
      </w:r>
    </w:p>
    <w:p w14:paraId="55AC2B44" w14:textId="77777777" w:rsidR="00752B72" w:rsidRDefault="00752B72" w:rsidP="00752B72">
      <w:pPr>
        <w:pStyle w:val="default"/>
        <w:spacing w:before="0" w:beforeAutospacing="0" w:after="27" w:afterAutospacing="0"/>
        <w:ind w:left="720" w:hanging="360"/>
      </w:pPr>
      <w:r>
        <w:rPr>
          <w:rStyle w:val="size"/>
          <w:sz w:val="23"/>
          <w:szCs w:val="23"/>
        </w:rPr>
        <w:t>1.</w:t>
      </w:r>
      <w:r>
        <w:rPr>
          <w:rStyle w:val="size"/>
          <w:rFonts w:ascii="Times New Roman" w:hAnsi="Times New Roman" w:cs="Times New Roman"/>
          <w:sz w:val="14"/>
          <w:szCs w:val="14"/>
        </w:rPr>
        <w:t xml:space="preserve">    </w:t>
      </w:r>
      <w:r>
        <w:rPr>
          <w:rStyle w:val="size"/>
          <w:sz w:val="23"/>
          <w:szCs w:val="23"/>
        </w:rPr>
        <w:t>Program potwierdzania ważności wyników - zasady konstruowania w procesowym podejściu do tematu (wskazanie działalności laboratoryjnej mającej wpływ na ważności wyników dla mikrobiologicznych metod badania próbek żywności).</w:t>
      </w:r>
    </w:p>
    <w:p w14:paraId="4904A858" w14:textId="77777777" w:rsidR="00752B72" w:rsidRDefault="00752B72" w:rsidP="00752B72">
      <w:pPr>
        <w:pStyle w:val="default"/>
        <w:spacing w:before="0" w:beforeAutospacing="0" w:after="27" w:afterAutospacing="0"/>
        <w:ind w:left="720"/>
      </w:pPr>
      <w:r>
        <w:rPr>
          <w:rStyle w:val="size"/>
          <w:sz w:val="23"/>
          <w:szCs w:val="23"/>
        </w:rPr>
        <w:t> </w:t>
      </w:r>
    </w:p>
    <w:p w14:paraId="629DAC44" w14:textId="77777777" w:rsidR="00C34A08" w:rsidRDefault="00752B72" w:rsidP="00C34A08">
      <w:pPr>
        <w:pStyle w:val="default"/>
        <w:spacing w:before="0" w:beforeAutospacing="0" w:after="27" w:afterAutospacing="0"/>
        <w:ind w:left="720" w:hanging="360"/>
        <w:rPr>
          <w:rStyle w:val="size"/>
          <w:sz w:val="23"/>
          <w:szCs w:val="23"/>
        </w:rPr>
      </w:pPr>
      <w:r>
        <w:rPr>
          <w:rStyle w:val="size"/>
          <w:sz w:val="23"/>
          <w:szCs w:val="23"/>
        </w:rPr>
        <w:t>2.</w:t>
      </w:r>
      <w:r>
        <w:rPr>
          <w:rStyle w:val="size"/>
          <w:rFonts w:ascii="Times New Roman" w:hAnsi="Times New Roman" w:cs="Times New Roman"/>
          <w:sz w:val="14"/>
          <w:szCs w:val="14"/>
        </w:rPr>
        <w:t xml:space="preserve">    </w:t>
      </w:r>
      <w:r>
        <w:rPr>
          <w:rStyle w:val="size"/>
          <w:sz w:val="23"/>
          <w:szCs w:val="23"/>
        </w:rPr>
        <w:t>Personel – monitoring kompetencji jako element potwierdzenia ważności wyników (przykłady praktycznej realizacji procesu monitorowania, dokumentacja procesu).</w:t>
      </w:r>
    </w:p>
    <w:p w14:paraId="6CF7ABC2" w14:textId="7886B369" w:rsidR="00752B72" w:rsidRDefault="00752B72" w:rsidP="00C34A08">
      <w:pPr>
        <w:pStyle w:val="default"/>
        <w:spacing w:before="0" w:beforeAutospacing="0" w:after="27" w:afterAutospacing="0"/>
        <w:ind w:left="720" w:hanging="360"/>
      </w:pPr>
      <w:r>
        <w:rPr>
          <w:rStyle w:val="size"/>
          <w:rFonts w:ascii="Arial" w:hAnsi="Arial" w:cs="Arial"/>
          <w:sz w:val="23"/>
          <w:szCs w:val="23"/>
        </w:rPr>
        <w:t> </w:t>
      </w:r>
    </w:p>
    <w:p w14:paraId="28B07FC7" w14:textId="77777777" w:rsidR="00C34A08" w:rsidRDefault="00752B72" w:rsidP="00C34A08">
      <w:pPr>
        <w:pStyle w:val="default"/>
        <w:spacing w:before="0" w:beforeAutospacing="0" w:after="27" w:afterAutospacing="0"/>
        <w:ind w:left="720" w:hanging="360"/>
        <w:rPr>
          <w:rStyle w:val="size"/>
          <w:sz w:val="23"/>
          <w:szCs w:val="23"/>
        </w:rPr>
      </w:pPr>
      <w:r>
        <w:rPr>
          <w:rStyle w:val="size"/>
          <w:sz w:val="23"/>
          <w:szCs w:val="23"/>
        </w:rPr>
        <w:t>3.</w:t>
      </w:r>
      <w:r>
        <w:rPr>
          <w:rStyle w:val="size"/>
          <w:rFonts w:ascii="Times New Roman" w:hAnsi="Times New Roman" w:cs="Times New Roman"/>
          <w:sz w:val="14"/>
          <w:szCs w:val="14"/>
        </w:rPr>
        <w:t xml:space="preserve">    </w:t>
      </w:r>
      <w:r>
        <w:rPr>
          <w:rStyle w:val="size"/>
          <w:sz w:val="23"/>
          <w:szCs w:val="23"/>
        </w:rPr>
        <w:t xml:space="preserve">Wyposażenie - nadzór metrologiczny, czyli co sprawdzamy? co wzorcujemy? Jak określić czasookresy z uwzględnieniem wymagań aktualnego wydania </w:t>
      </w:r>
      <w:r>
        <w:rPr>
          <w:rStyle w:val="size"/>
          <w:b/>
          <w:bCs/>
          <w:sz w:val="23"/>
          <w:szCs w:val="23"/>
        </w:rPr>
        <w:t>DA-06</w:t>
      </w:r>
      <w:r>
        <w:rPr>
          <w:rStyle w:val="size"/>
          <w:sz w:val="23"/>
          <w:szCs w:val="23"/>
        </w:rPr>
        <w:t>? – omówienie zagadnień w oparciu o następujące wyposażenie szafy termostatyczne, pipety, wagi, łaźnie wodne</w:t>
      </w:r>
    </w:p>
    <w:p w14:paraId="322C3047" w14:textId="0C9E1C4D" w:rsidR="00752B72" w:rsidRDefault="00752B72" w:rsidP="00C34A08">
      <w:pPr>
        <w:pStyle w:val="default"/>
        <w:spacing w:before="0" w:beforeAutospacing="0" w:after="27" w:afterAutospacing="0"/>
        <w:ind w:left="720" w:hanging="360"/>
      </w:pPr>
      <w:r>
        <w:rPr>
          <w:rStyle w:val="size"/>
          <w:rFonts w:ascii="Arial" w:hAnsi="Arial" w:cs="Arial"/>
          <w:sz w:val="23"/>
          <w:szCs w:val="23"/>
        </w:rPr>
        <w:t> </w:t>
      </w:r>
    </w:p>
    <w:p w14:paraId="189F7F46" w14:textId="77777777" w:rsidR="00C34A08" w:rsidRDefault="00752B72" w:rsidP="00C34A08">
      <w:pPr>
        <w:pStyle w:val="default"/>
        <w:spacing w:before="0" w:beforeAutospacing="0" w:after="27" w:afterAutospacing="0"/>
        <w:ind w:left="720" w:hanging="360"/>
        <w:jc w:val="both"/>
        <w:rPr>
          <w:rStyle w:val="size"/>
          <w:sz w:val="23"/>
          <w:szCs w:val="23"/>
        </w:rPr>
      </w:pPr>
      <w:r>
        <w:rPr>
          <w:rStyle w:val="size"/>
          <w:sz w:val="23"/>
          <w:szCs w:val="23"/>
        </w:rPr>
        <w:t>4.</w:t>
      </w:r>
      <w:r>
        <w:rPr>
          <w:rStyle w:val="size"/>
          <w:rFonts w:ascii="Times New Roman" w:hAnsi="Times New Roman" w:cs="Times New Roman"/>
          <w:sz w:val="14"/>
          <w:szCs w:val="14"/>
        </w:rPr>
        <w:t xml:space="preserve">    </w:t>
      </w:r>
      <w:r>
        <w:rPr>
          <w:rStyle w:val="size"/>
          <w:sz w:val="23"/>
          <w:szCs w:val="23"/>
        </w:rPr>
        <w:t>Podłoża mikrobiologiczne – zasady nadzoru zgodnie z PN EN ISO 11133 określenie zakresu i częstotliwości sprawdzeń podłóż wykorzystywanych w metodach ilościowych i jakościowych.</w:t>
      </w:r>
    </w:p>
    <w:p w14:paraId="3EF66438" w14:textId="4FF58295" w:rsidR="00752B72" w:rsidRDefault="00752B72" w:rsidP="00C34A08">
      <w:pPr>
        <w:pStyle w:val="default"/>
        <w:spacing w:before="0" w:beforeAutospacing="0" w:after="27" w:afterAutospacing="0"/>
        <w:ind w:left="720" w:hanging="360"/>
        <w:jc w:val="both"/>
      </w:pPr>
      <w:r>
        <w:rPr>
          <w:rStyle w:val="size"/>
          <w:sz w:val="23"/>
          <w:szCs w:val="23"/>
        </w:rPr>
        <w:t> </w:t>
      </w:r>
    </w:p>
    <w:p w14:paraId="2DA17281" w14:textId="77777777" w:rsidR="00C34A08" w:rsidRDefault="00752B72" w:rsidP="00C34A08">
      <w:pPr>
        <w:pStyle w:val="default"/>
        <w:spacing w:before="0" w:beforeAutospacing="0" w:after="27" w:afterAutospacing="0"/>
        <w:ind w:left="720" w:hanging="360"/>
        <w:rPr>
          <w:rStyle w:val="size"/>
          <w:sz w:val="23"/>
          <w:szCs w:val="23"/>
        </w:rPr>
      </w:pPr>
      <w:r>
        <w:rPr>
          <w:rStyle w:val="size"/>
          <w:sz w:val="23"/>
          <w:szCs w:val="23"/>
        </w:rPr>
        <w:t>5.</w:t>
      </w:r>
      <w:r>
        <w:rPr>
          <w:rStyle w:val="size"/>
          <w:rFonts w:ascii="Times New Roman" w:hAnsi="Times New Roman" w:cs="Times New Roman"/>
          <w:sz w:val="14"/>
          <w:szCs w:val="14"/>
        </w:rPr>
        <w:t xml:space="preserve">    </w:t>
      </w:r>
      <w:r>
        <w:rPr>
          <w:rStyle w:val="size"/>
          <w:sz w:val="23"/>
          <w:szCs w:val="23"/>
        </w:rPr>
        <w:t>Szczepy wzorcowe – zakres sprawdzeń oraz praktyczne wykorzystanie w badaniach.</w:t>
      </w:r>
    </w:p>
    <w:p w14:paraId="0CD7A049" w14:textId="3C51EA97" w:rsidR="00752B72" w:rsidRDefault="00752B72" w:rsidP="00C34A08">
      <w:pPr>
        <w:pStyle w:val="default"/>
        <w:spacing w:before="0" w:beforeAutospacing="0" w:after="27" w:afterAutospacing="0"/>
        <w:ind w:left="720" w:hanging="360"/>
      </w:pPr>
      <w:r>
        <w:rPr>
          <w:rStyle w:val="size"/>
          <w:rFonts w:ascii="Arial" w:hAnsi="Arial" w:cs="Arial"/>
          <w:sz w:val="23"/>
          <w:szCs w:val="23"/>
        </w:rPr>
        <w:t> </w:t>
      </w:r>
    </w:p>
    <w:p w14:paraId="193478A9" w14:textId="25B29BED" w:rsidR="00752B72" w:rsidRDefault="00752B72" w:rsidP="00C34A08">
      <w:pPr>
        <w:pStyle w:val="default"/>
        <w:spacing w:before="0" w:beforeAutospacing="0" w:after="27" w:afterAutospacing="0"/>
        <w:ind w:left="720" w:hanging="360"/>
      </w:pPr>
      <w:r>
        <w:rPr>
          <w:rStyle w:val="size"/>
          <w:sz w:val="23"/>
          <w:szCs w:val="23"/>
        </w:rPr>
        <w:t>6.</w:t>
      </w:r>
      <w:r>
        <w:rPr>
          <w:rStyle w:val="size"/>
          <w:rFonts w:ascii="Times New Roman" w:hAnsi="Times New Roman" w:cs="Times New Roman"/>
          <w:sz w:val="14"/>
          <w:szCs w:val="14"/>
        </w:rPr>
        <w:t xml:space="preserve">    </w:t>
      </w:r>
      <w:r>
        <w:rPr>
          <w:rStyle w:val="size"/>
          <w:rFonts w:ascii="Arial" w:hAnsi="Arial" w:cs="Arial"/>
          <w:sz w:val="23"/>
          <w:szCs w:val="23"/>
        </w:rPr>
        <w:t xml:space="preserve"> </w:t>
      </w:r>
      <w:r>
        <w:rPr>
          <w:rStyle w:val="size"/>
          <w:sz w:val="23"/>
          <w:szCs w:val="23"/>
        </w:rPr>
        <w:t>Próbki ślepe, powtórzone, równoległe, podstawione – częstotliwość, ocena wyników, monitorowanie trendów- analiza przykładowych wykresów</w:t>
      </w:r>
      <w:r>
        <w:rPr>
          <w:rStyle w:val="size"/>
          <w:rFonts w:ascii="Arial" w:hAnsi="Arial" w:cs="Arial"/>
          <w:b/>
          <w:bCs/>
          <w:sz w:val="23"/>
          <w:szCs w:val="23"/>
        </w:rPr>
        <w:t> </w:t>
      </w:r>
    </w:p>
    <w:p w14:paraId="0D05A086" w14:textId="77777777" w:rsidR="00752B72" w:rsidRDefault="00752B72" w:rsidP="00752B72">
      <w:pPr>
        <w:pStyle w:val="default"/>
        <w:ind w:left="720" w:hanging="360"/>
        <w:jc w:val="both"/>
      </w:pPr>
      <w:r>
        <w:rPr>
          <w:rFonts w:eastAsia="Tahoma"/>
        </w:rPr>
        <w:t>7.</w:t>
      </w:r>
      <w:r>
        <w:rPr>
          <w:rStyle w:val="size"/>
          <w:rFonts w:ascii="Times New Roman" w:eastAsia="Tahoma" w:hAnsi="Times New Roman" w:cs="Times New Roman"/>
          <w:sz w:val="14"/>
          <w:szCs w:val="14"/>
        </w:rPr>
        <w:t xml:space="preserve">    </w:t>
      </w:r>
      <w:r>
        <w:rPr>
          <w:rStyle w:val="size"/>
          <w:sz w:val="23"/>
          <w:szCs w:val="23"/>
        </w:rPr>
        <w:t xml:space="preserve">Badania biegłości – zasady konstruowania programów PT/ILC w oparciu o analizę ryzyka zgodnie z wymaganiami </w:t>
      </w:r>
      <w:r>
        <w:rPr>
          <w:rStyle w:val="size"/>
          <w:b/>
          <w:bCs/>
          <w:sz w:val="23"/>
          <w:szCs w:val="23"/>
        </w:rPr>
        <w:t xml:space="preserve">DA-05, </w:t>
      </w:r>
      <w:r>
        <w:rPr>
          <w:rStyle w:val="size"/>
          <w:sz w:val="23"/>
          <w:szCs w:val="23"/>
        </w:rPr>
        <w:t>wybór właściwego organizatora oraz programy odpowiedniego do posiadanego zakresu. Analiza uzyskanych wyników</w:t>
      </w:r>
    </w:p>
    <w:sectPr w:rsidR="0075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736AB"/>
    <w:multiLevelType w:val="multilevel"/>
    <w:tmpl w:val="EFBA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D31BED"/>
    <w:multiLevelType w:val="hybridMultilevel"/>
    <w:tmpl w:val="FCF6FE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385857"/>
    <w:multiLevelType w:val="multilevel"/>
    <w:tmpl w:val="8D94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A28C0"/>
    <w:multiLevelType w:val="hybridMultilevel"/>
    <w:tmpl w:val="CD4EC0E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850D9C"/>
    <w:multiLevelType w:val="multilevel"/>
    <w:tmpl w:val="B69A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F6068F"/>
    <w:multiLevelType w:val="hybridMultilevel"/>
    <w:tmpl w:val="BB009F28"/>
    <w:lvl w:ilvl="0" w:tplc="7F3A5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60553">
    <w:abstractNumId w:val="2"/>
  </w:num>
  <w:num w:numId="2" w16cid:durableId="1573126706">
    <w:abstractNumId w:val="4"/>
  </w:num>
  <w:num w:numId="3" w16cid:durableId="1661153989">
    <w:abstractNumId w:val="0"/>
  </w:num>
  <w:num w:numId="4" w16cid:durableId="1579946363">
    <w:abstractNumId w:val="1"/>
  </w:num>
  <w:num w:numId="5" w16cid:durableId="1717847162">
    <w:abstractNumId w:val="5"/>
  </w:num>
  <w:num w:numId="6" w16cid:durableId="1972784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72"/>
    <w:rsid w:val="0002545A"/>
    <w:rsid w:val="000775C0"/>
    <w:rsid w:val="00233017"/>
    <w:rsid w:val="002925A0"/>
    <w:rsid w:val="00483876"/>
    <w:rsid w:val="006835BF"/>
    <w:rsid w:val="00731798"/>
    <w:rsid w:val="00752B72"/>
    <w:rsid w:val="00975D36"/>
    <w:rsid w:val="00C34A08"/>
    <w:rsid w:val="00CD3EA9"/>
    <w:rsid w:val="00F1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119B"/>
  <w15:chartTrackingRefBased/>
  <w15:docId w15:val="{8E5C66BC-00B4-430E-9462-92AC4F38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B7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B72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752B72"/>
    <w:pPr>
      <w:spacing w:before="100" w:beforeAutospacing="1" w:after="100" w:afterAutospacing="1"/>
    </w:pPr>
  </w:style>
  <w:style w:type="character" w:customStyle="1" w:styleId="font">
    <w:name w:val="font"/>
    <w:basedOn w:val="Domylnaczcionkaakapitu"/>
    <w:rsid w:val="00752B72"/>
  </w:style>
  <w:style w:type="character" w:customStyle="1" w:styleId="size">
    <w:name w:val="size"/>
    <w:basedOn w:val="Domylnaczcionkaakapitu"/>
    <w:rsid w:val="00752B72"/>
  </w:style>
  <w:style w:type="character" w:customStyle="1" w:styleId="colour">
    <w:name w:val="colour"/>
    <w:basedOn w:val="Domylnaczcionkaakapitu"/>
    <w:rsid w:val="00752B72"/>
  </w:style>
  <w:style w:type="character" w:styleId="Uwydatnienie">
    <w:name w:val="Emphasis"/>
    <w:basedOn w:val="Domylnaczcionkaakapitu"/>
    <w:uiPriority w:val="20"/>
    <w:qFormat/>
    <w:rsid w:val="000775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Domaradzka</dc:creator>
  <cp:keywords/>
  <dc:description/>
  <cp:lastModifiedBy>Joanna Domaradzka</cp:lastModifiedBy>
  <cp:revision>3</cp:revision>
  <dcterms:created xsi:type="dcterms:W3CDTF">2023-01-16T07:24:00Z</dcterms:created>
  <dcterms:modified xsi:type="dcterms:W3CDTF">2023-01-16T07:26:00Z</dcterms:modified>
</cp:coreProperties>
</file>